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B5184" w14:textId="77777777" w:rsidR="009F3A07" w:rsidRPr="009F3A07" w:rsidRDefault="009F3A07" w:rsidP="009F3A07">
      <w:pPr>
        <w:jc w:val="center"/>
        <w:rPr>
          <w:b/>
          <w:bCs/>
          <w:sz w:val="32"/>
          <w:szCs w:val="32"/>
          <w:lang w:val="sr-Latn-RS"/>
        </w:rPr>
      </w:pPr>
      <w:r w:rsidRPr="009F3A07">
        <w:rPr>
          <w:b/>
          <w:bCs/>
          <w:sz w:val="32"/>
          <w:szCs w:val="32"/>
          <w:lang w:val="sr-Latn-RS"/>
        </w:rPr>
        <w:t>CERN tehnologies</w:t>
      </w:r>
    </w:p>
    <w:p w14:paraId="2A32EBBA" w14:textId="77777777" w:rsidR="009F3A07" w:rsidRPr="005465CE" w:rsidRDefault="009F3A07" w:rsidP="009F3A07">
      <w:pPr>
        <w:rPr>
          <w:sz w:val="24"/>
          <w:szCs w:val="24"/>
          <w:lang w:val="sr-Latn-RS"/>
        </w:rPr>
      </w:pPr>
      <w:r w:rsidRPr="005465CE">
        <w:rPr>
          <w:sz w:val="24"/>
          <w:szCs w:val="24"/>
          <w:lang w:val="sr-Latn-RS"/>
        </w:rPr>
        <w:t>C</w:t>
      </w:r>
      <w:r>
        <w:rPr>
          <w:sz w:val="24"/>
          <w:szCs w:val="24"/>
          <w:lang w:val="sr-Latn-RS"/>
        </w:rPr>
        <w:t>ERN</w:t>
      </w:r>
      <w:r w:rsidRPr="005465CE">
        <w:rPr>
          <w:sz w:val="24"/>
          <w:szCs w:val="24"/>
          <w:lang w:val="sr-Latn-RS"/>
        </w:rPr>
        <w:t xml:space="preserve"> signifie Conseil Européen pour la Recherche Nucléaire, il a été fondé à Paris en 1951. La recherche que fait le Cern présente des défis technologiques, il est donc important de développer des machines telles que des accélérateurs et des détecteurs de particules.</w:t>
      </w:r>
    </w:p>
    <w:p w14:paraId="7885026F" w14:textId="77777777" w:rsid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D0D0D"/>
          <w:kern w:val="0"/>
          <w:sz w:val="32"/>
          <w:szCs w:val="32"/>
          <w14:ligatures w14:val="none"/>
        </w:rPr>
      </w:pPr>
    </w:p>
    <w:p w14:paraId="03ADAD7E" w14:textId="404A2BF4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D0D0D"/>
          <w:kern w:val="0"/>
          <w:sz w:val="28"/>
          <w:szCs w:val="28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8"/>
          <w:szCs w:val="28"/>
          <w14:ligatures w14:val="none"/>
        </w:rPr>
        <w:t>Informatique au CERN</w:t>
      </w:r>
    </w:p>
    <w:p w14:paraId="38E57871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CERN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joue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un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rôle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central dans le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domaine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informatique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, indispensable pour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recherches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physique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particules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.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Voici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un aperçu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détaillé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principales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activités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informatiques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:</w:t>
      </w:r>
      <w:proofErr w:type="gramEnd"/>
    </w:p>
    <w:p w14:paraId="564A4D55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1. Centre de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du CERN</w:t>
      </w:r>
    </w:p>
    <w:p w14:paraId="7B859E40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Centre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du CERN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gère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le stockage et le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traitement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données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massives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générées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par les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expériences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du LHC. Il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est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au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cœur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la Grille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Mondiale pour le LHC (WLCG),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infrastructure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distribuée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permettant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l'accès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temps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réel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aux données pour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milliers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physiciens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dans le monde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entier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5014FE6D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2. Grille de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Mondiale pour le LHC (WLCG)</w:t>
      </w:r>
    </w:p>
    <w:p w14:paraId="50717B21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La WLCG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est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collaboration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internationale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qui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comprend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plus de 170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centres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dans 42 pays. Elle assure la gestion et le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traitement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données du LHC,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facilitant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ainsi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les analyses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nécessaires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les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découvertes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scientifiques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2C8D9188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3. CERN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openlab</w:t>
      </w:r>
      <w:proofErr w:type="spellEnd"/>
    </w:p>
    <w:p w14:paraId="4E14E180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CERN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openlab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est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un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partenariat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public-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privé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entre le CERN et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entreprises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leaders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technologies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l'information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et de la communication (TIC). Ce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partenariat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vise à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développer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solutions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innovantes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répondre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aux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défis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informatiques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du CERN.</w:t>
      </w:r>
    </w:p>
    <w:p w14:paraId="121BD633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4.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Logiciels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Libres</w:t>
      </w:r>
    </w:p>
    <w:p w14:paraId="50F52F2E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CERN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promeut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l'utilisation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logiciels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libres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science ouverte. Cette initiative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permet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partager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avancées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technologiques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et les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outils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développés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au CERN avec la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communauté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scientifique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mondiale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691FCA94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5.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Préservation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des Données</w:t>
      </w:r>
    </w:p>
    <w:p w14:paraId="03AB8BED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CERN met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place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stratégies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la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préservation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à long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terme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données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scientifiques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.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efforts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sont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essentiels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garantir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que les données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actuelles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restent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accessibles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et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exploitables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les futures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générations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chercheurs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6723B5BF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lastRenderedPageBreak/>
        <w:t xml:space="preserve">6.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Distribué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Volontaire</w:t>
      </w:r>
      <w:proofErr w:type="spellEnd"/>
    </w:p>
    <w:p w14:paraId="6000587F" w14:textId="77777777" w:rsidR="009F3A07" w:rsidRP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CERN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utilise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projets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distribué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volontaire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,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où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individus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du monde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entier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peuvent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contribuer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offrant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la puissance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calcul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leurs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ordinateurs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personnels pour aider à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traiter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les données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scientifiques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084FE080" w14:textId="77777777" w:rsidR="009F3A07" w:rsidRPr="009F3A07" w:rsidRDefault="009F3A07" w:rsidP="009F3A0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7. Initiative de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Technologie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>Quantique</w:t>
      </w:r>
      <w:proofErr w:type="spellEnd"/>
      <w:r w:rsidRPr="009F3A07">
        <w:rPr>
          <w:rFonts w:ascii="Arial" w:eastAsia="Times New Roman" w:hAnsi="Arial" w:cs="Arial"/>
          <w:b/>
          <w:bCs/>
          <w:color w:val="0D0D0D"/>
          <w:kern w:val="0"/>
          <w:sz w:val="24"/>
          <w:szCs w:val="24"/>
          <w14:ligatures w14:val="none"/>
        </w:rPr>
        <w:t xml:space="preserve"> (QTI)</w:t>
      </w:r>
    </w:p>
    <w:p w14:paraId="7B64323D" w14:textId="77777777" w:rsidR="009F3A07" w:rsidRDefault="009F3A07" w:rsidP="009F3A07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</w:pPr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Le CERN a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lancé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initiative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technologie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quantique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pour explorer les applications des technologies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quantiques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dans la recherche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physique des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particules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. Cette initiative vise à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définir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une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feuille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de route </w:t>
      </w:r>
      <w:proofErr w:type="gram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pour</w:t>
      </w:r>
      <w:proofErr w:type="gram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la recherche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quantique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à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moyen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 xml:space="preserve"> et long </w:t>
      </w:r>
      <w:proofErr w:type="spellStart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terme</w:t>
      </w:r>
      <w:proofErr w:type="spellEnd"/>
      <w:r w:rsidRPr="009F3A07">
        <w:rPr>
          <w:rFonts w:ascii="Arial" w:eastAsia="Times New Roman" w:hAnsi="Arial" w:cs="Arial"/>
          <w:color w:val="0D0D0D"/>
          <w:kern w:val="0"/>
          <w:sz w:val="24"/>
          <w:szCs w:val="24"/>
          <w14:ligatures w14:val="none"/>
        </w:rPr>
        <w:t>.</w:t>
      </w:r>
    </w:p>
    <w:p w14:paraId="3F045A91" w14:textId="1FC0D740" w:rsidR="00D818E7" w:rsidRPr="00D818E7" w:rsidRDefault="00D818E7" w:rsidP="00D81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</w:rPr>
      </w:pPr>
      <w:r w:rsidRPr="00D818E7">
        <w:rPr>
          <w:rFonts w:ascii="Arial" w:eastAsia="Times New Roman" w:hAnsi="Arial" w:cs="Arial"/>
          <w:b/>
          <w:bCs/>
          <w:color w:val="212529"/>
          <w:sz w:val="24"/>
          <w:szCs w:val="24"/>
          <w:u w:val="single"/>
        </w:rPr>
        <w:t>VOCABULAIRE:</w:t>
      </w:r>
    </w:p>
    <w:p w14:paraId="48352872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Centre de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calcul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Računski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centar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4CC9664A" w14:textId="7A0A4075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Lieu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équipé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puissants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ordinateurs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pour le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traitement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 </w:t>
      </w:r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données</w:t>
      </w:r>
      <w:proofErr w:type="gramEnd"/>
    </w:p>
    <w:p w14:paraId="11C017B6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2CEE9EB8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Grille de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calcul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Mreža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računara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525AB228" w14:textId="4CD1909B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Réseau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d'ordinateurs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combinant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leurs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ressources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pour des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calculs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complexes.</w:t>
      </w:r>
    </w:p>
    <w:p w14:paraId="3962617C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4CA4D7D5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Stockage des </w:t>
      </w:r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données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Skladištenje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podataka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2F08324B" w14:textId="7DE725BC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Conservation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sécurisée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et durable des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informations</w:t>
      </w:r>
      <w:proofErr w:type="spellEnd"/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numériques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37E02132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6987CCF6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Analyse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des </w:t>
      </w:r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données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Analiza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podataka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5B77E549" w14:textId="197A1079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Exploration et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interprétation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des données pour des insights.</w:t>
      </w:r>
    </w:p>
    <w:p w14:paraId="16C66E4F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313B4AE4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Logiciel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libre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Slobodan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softver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0EA95FEA" w14:textId="795741F3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Programme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informatique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avec un code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ouvert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à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tous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3B2CED0B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1472F44D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Préservation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des </w:t>
      </w:r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données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Očuvanje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podataka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0A5EFD5C" w14:textId="2345B35C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Maintien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et protection des données sur le long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terme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149E6C68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4FBD5219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Calcul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distribué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Distribuirano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računanje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656127E5" w14:textId="22BF3481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Répartition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tâches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calcul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sur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plusieurs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ordinateurs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1FC04AE2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77C87474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Technologie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quantique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Kvantna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tehnologija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034057A0" w14:textId="1AB64D6B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Utilisation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des principes de la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mécanique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quantique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pour des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avancées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technologiques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5A9A9B55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05FA735D" w14:textId="77777777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Partenariat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public-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privé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Javno-privatno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partnerstvo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</w:p>
    <w:p w14:paraId="2EBE07A2" w14:textId="2F5E86E8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Collaboration entre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secteurs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public et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privé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pour des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projets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d'intérêt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général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6E1B9B6E" w14:textId="77777777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</w:p>
    <w:p w14:paraId="32CD8821" w14:textId="2E30174B" w:rsidR="00D818E7" w:rsidRPr="00D818E7" w:rsidRDefault="00D818E7" w:rsidP="00D818E7">
      <w:pPr>
        <w:pStyle w:val="ListParagraph"/>
        <w:numPr>
          <w:ilvl w:val="0"/>
          <w:numId w:val="5"/>
        </w:numPr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Infrastructure </w:t>
      </w:r>
      <w:proofErr w:type="spellStart"/>
      <w:proofErr w:type="gram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informatique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:</w:t>
      </w:r>
      <w:proofErr w:type="gram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Informatička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infrastruktura</w:t>
      </w:r>
      <w:proofErr w:type="spellEnd"/>
    </w:p>
    <w:p w14:paraId="4BAC65B4" w14:textId="70400924" w:rsidR="00D818E7" w:rsidRPr="00D818E7" w:rsidRDefault="00D818E7" w:rsidP="00D818E7">
      <w:pPr>
        <w:pStyle w:val="ListParagraph"/>
        <w:shd w:val="clear" w:color="auto" w:fill="FFFFFF"/>
        <w:spacing w:after="300" w:line="240" w:lineRule="auto"/>
        <w:jc w:val="both"/>
        <w:rPr>
          <w:rFonts w:ascii="Arial" w:hAnsi="Arial" w:cs="Arial"/>
          <w:color w:val="0D0D0D"/>
          <w:sz w:val="24"/>
          <w:szCs w:val="24"/>
          <w:shd w:val="clear" w:color="auto" w:fill="FFFFFF"/>
        </w:rPr>
      </w:pPr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Ensemble des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outils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et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réseaux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nécessaires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 xml:space="preserve"> pour les services </w:t>
      </w:r>
      <w:proofErr w:type="spellStart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informatiques</w:t>
      </w:r>
      <w:proofErr w:type="spellEnd"/>
      <w:r w:rsidRPr="00D818E7">
        <w:rPr>
          <w:rFonts w:ascii="Arial" w:hAnsi="Arial" w:cs="Arial"/>
          <w:color w:val="0D0D0D"/>
          <w:sz w:val="24"/>
          <w:szCs w:val="24"/>
          <w:shd w:val="clear" w:color="auto" w:fill="FFFFFF"/>
        </w:rPr>
        <w:t>.</w:t>
      </w:r>
    </w:p>
    <w:p w14:paraId="5B479136" w14:textId="77777777" w:rsidR="000174F9" w:rsidRPr="009F3A07" w:rsidRDefault="000174F9" w:rsidP="009F3A07">
      <w:pPr>
        <w:jc w:val="both"/>
        <w:rPr>
          <w:rFonts w:ascii="Arial" w:hAnsi="Arial" w:cs="Arial"/>
          <w:sz w:val="24"/>
          <w:szCs w:val="24"/>
        </w:rPr>
      </w:pPr>
    </w:p>
    <w:sectPr w:rsidR="000174F9" w:rsidRPr="009F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84759"/>
    <w:multiLevelType w:val="multilevel"/>
    <w:tmpl w:val="A54A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C2A4F"/>
    <w:multiLevelType w:val="multilevel"/>
    <w:tmpl w:val="A476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00DBE"/>
    <w:multiLevelType w:val="hybridMultilevel"/>
    <w:tmpl w:val="A5C8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F2932"/>
    <w:multiLevelType w:val="multilevel"/>
    <w:tmpl w:val="47AE7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0549F"/>
    <w:multiLevelType w:val="multilevel"/>
    <w:tmpl w:val="1A687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769132">
    <w:abstractNumId w:val="4"/>
  </w:num>
  <w:num w:numId="2" w16cid:durableId="1963534915">
    <w:abstractNumId w:val="0"/>
  </w:num>
  <w:num w:numId="3" w16cid:durableId="2094277966">
    <w:abstractNumId w:val="1"/>
  </w:num>
  <w:num w:numId="4" w16cid:durableId="118912778">
    <w:abstractNumId w:val="3"/>
  </w:num>
  <w:num w:numId="5" w16cid:durableId="84593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32"/>
    <w:rsid w:val="000174F9"/>
    <w:rsid w:val="002D5BFE"/>
    <w:rsid w:val="005838A0"/>
    <w:rsid w:val="009F3A07"/>
    <w:rsid w:val="00C031C9"/>
    <w:rsid w:val="00D818E7"/>
    <w:rsid w:val="00DD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7DD75"/>
  <w15:chartTrackingRefBased/>
  <w15:docId w15:val="{46403742-C2D2-4139-82D1-1C744977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3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3A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A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A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A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A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A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A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A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A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A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A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D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D3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Милић</dc:creator>
  <cp:keywords/>
  <dc:description/>
  <cp:lastModifiedBy>Милена Милић</cp:lastModifiedBy>
  <cp:revision>1</cp:revision>
  <dcterms:created xsi:type="dcterms:W3CDTF">2024-05-19T08:23:00Z</dcterms:created>
  <dcterms:modified xsi:type="dcterms:W3CDTF">2024-05-19T08:54:00Z</dcterms:modified>
</cp:coreProperties>
</file>